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1F6" w:rsidRPr="00911DCD" w:rsidRDefault="00E751F6" w:rsidP="00E751F6">
      <w:pPr>
        <w:pBdr>
          <w:bottom w:val="single" w:sz="4" w:space="1" w:color="auto"/>
        </w:pBdr>
        <w:spacing w:before="40" w:after="40"/>
        <w:rPr>
          <w:b/>
          <w:sz w:val="36"/>
          <w:szCs w:val="36"/>
        </w:rPr>
      </w:pPr>
      <w:bookmarkStart w:id="0" w:name="_GoBack"/>
      <w:bookmarkEnd w:id="0"/>
      <w:r w:rsidRPr="001A58A1">
        <w:rPr>
          <w:b/>
          <w:sz w:val="36"/>
          <w:szCs w:val="36"/>
        </w:rPr>
        <w:t>Eligibility and Participation Criteria</w:t>
      </w:r>
    </w:p>
    <w:p w:rsidR="00E751F6" w:rsidRPr="004E1486" w:rsidRDefault="00E751F6" w:rsidP="00E751F6">
      <w:pPr>
        <w:spacing w:before="40" w:after="40"/>
        <w:rPr>
          <w:sz w:val="22"/>
          <w:szCs w:val="22"/>
        </w:rPr>
      </w:pPr>
    </w:p>
    <w:p w:rsidR="00E751F6" w:rsidRPr="00BA1676" w:rsidRDefault="00E751F6" w:rsidP="00E751F6">
      <w:pPr>
        <w:spacing w:before="40" w:after="40"/>
        <w:rPr>
          <w:b/>
          <w:sz w:val="22"/>
          <w:szCs w:val="22"/>
        </w:rPr>
      </w:pPr>
      <w:r w:rsidRPr="00911DCD">
        <w:rPr>
          <w:b/>
          <w:sz w:val="22"/>
          <w:szCs w:val="22"/>
        </w:rPr>
        <w:t>Definition of a Student with a Severe Disability (</w:t>
      </w:r>
      <w:r w:rsidRPr="00BA1676">
        <w:rPr>
          <w:b/>
          <w:sz w:val="22"/>
          <w:szCs w:val="22"/>
        </w:rPr>
        <w:t>Section 100.1 of the Regulations of the Commissioner of Education)</w:t>
      </w:r>
    </w:p>
    <w:p w:rsidR="00E751F6" w:rsidRPr="00BA1676" w:rsidRDefault="00E751F6" w:rsidP="00E751F6">
      <w:pPr>
        <w:spacing w:before="40" w:after="40"/>
        <w:ind w:firstLine="720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“Students with severe disabilities” refers to students who have limited cognitive abilities combined with behavioral and/or physical limitations and who require highly specialized education and/or social, psychological, and medical services in order to maximize their full potential for useful and meaningful participation in society and for self-fulfillment. Students with severe disabilities may experience severe speech, language, and/or perceptual-cognitive impairments and challenging behaviors that interfere with learning and socialization opportunities. These students may also have extremely fragile physiological conditions and may require personal care, physical/verbal supports, and assistive technology devices.</w:t>
      </w:r>
    </w:p>
    <w:p w:rsidR="00E751F6" w:rsidRPr="00BA1676" w:rsidRDefault="00E751F6" w:rsidP="00E751F6">
      <w:pPr>
        <w:spacing w:before="40" w:after="40"/>
        <w:rPr>
          <w:sz w:val="22"/>
          <w:szCs w:val="22"/>
        </w:rPr>
      </w:pPr>
    </w:p>
    <w:p w:rsidR="00E751F6" w:rsidRPr="00BA1676" w:rsidRDefault="00E751F6" w:rsidP="00E751F6">
      <w:pPr>
        <w:spacing w:before="40" w:after="40"/>
        <w:rPr>
          <w:b/>
          <w:sz w:val="22"/>
          <w:szCs w:val="22"/>
        </w:rPr>
      </w:pPr>
      <w:r w:rsidRPr="00BA1676">
        <w:rPr>
          <w:b/>
          <w:sz w:val="22"/>
          <w:szCs w:val="22"/>
        </w:rPr>
        <w:t xml:space="preserve">NYSAA Eligibility </w:t>
      </w:r>
    </w:p>
    <w:p w:rsidR="00E751F6" w:rsidRPr="00BA1676" w:rsidRDefault="00E751F6" w:rsidP="00E751F6">
      <w:pPr>
        <w:spacing w:before="40" w:after="120"/>
        <w:ind w:left="90" w:firstLine="602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The process of determining eligibility begins with the Committee on Special Education (CSE). The CSE determines, on an individual basis, whether the student will participate in:</w:t>
      </w:r>
    </w:p>
    <w:p w:rsidR="00E751F6" w:rsidRPr="00BA1676" w:rsidRDefault="00E751F6" w:rsidP="00E751F6">
      <w:pPr>
        <w:numPr>
          <w:ilvl w:val="0"/>
          <w:numId w:val="1"/>
        </w:numPr>
        <w:tabs>
          <w:tab w:val="clear" w:pos="720"/>
        </w:tabs>
        <w:spacing w:after="120"/>
        <w:ind w:left="1038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the State’s general assessment with or without accommodations;</w:t>
      </w:r>
    </w:p>
    <w:p w:rsidR="00E751F6" w:rsidRPr="00BA1676" w:rsidRDefault="00E751F6" w:rsidP="00E751F6">
      <w:pPr>
        <w:numPr>
          <w:ilvl w:val="0"/>
          <w:numId w:val="1"/>
        </w:numPr>
        <w:tabs>
          <w:tab w:val="clear" w:pos="720"/>
        </w:tabs>
        <w:spacing w:after="120"/>
        <w:ind w:left="1038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the State’s alternate assessment with or without accommodations; or</w:t>
      </w:r>
    </w:p>
    <w:p w:rsidR="00E751F6" w:rsidRPr="00BA1676" w:rsidRDefault="00E751F6" w:rsidP="00E751F6">
      <w:pPr>
        <w:numPr>
          <w:ilvl w:val="0"/>
          <w:numId w:val="1"/>
        </w:numPr>
        <w:tabs>
          <w:tab w:val="clear" w:pos="720"/>
        </w:tabs>
        <w:spacing w:after="120"/>
        <w:ind w:left="1034"/>
        <w:jc w:val="both"/>
        <w:rPr>
          <w:sz w:val="22"/>
          <w:szCs w:val="22"/>
        </w:rPr>
      </w:pPr>
      <w:proofErr w:type="gramStart"/>
      <w:r w:rsidRPr="00BA1676">
        <w:rPr>
          <w:sz w:val="22"/>
          <w:szCs w:val="22"/>
        </w:rPr>
        <w:t>a</w:t>
      </w:r>
      <w:proofErr w:type="gramEnd"/>
      <w:r w:rsidRPr="00BA1676">
        <w:rPr>
          <w:sz w:val="22"/>
          <w:szCs w:val="22"/>
        </w:rPr>
        <w:t xml:space="preserve"> combination of the State’s general assessment for some content areas and the State’s alternate assessment for other content areas.</w:t>
      </w:r>
    </w:p>
    <w:p w:rsidR="00E751F6" w:rsidRPr="00BA1676" w:rsidRDefault="00E751F6" w:rsidP="00E751F6">
      <w:pPr>
        <w:spacing w:before="40" w:after="120"/>
        <w:ind w:left="90" w:firstLine="602"/>
        <w:jc w:val="both"/>
        <w:rPr>
          <w:sz w:val="22"/>
          <w:szCs w:val="22"/>
        </w:rPr>
      </w:pPr>
      <w:r w:rsidRPr="00BA1676">
        <w:rPr>
          <w:sz w:val="22"/>
          <w:szCs w:val="22"/>
        </w:rPr>
        <w:t xml:space="preserve">The CSE ensures that decisions regarding participation in the State testing program are </w:t>
      </w:r>
      <w:r w:rsidRPr="00BA1676">
        <w:rPr>
          <w:i/>
          <w:sz w:val="22"/>
          <w:szCs w:val="22"/>
          <w:u w:val="single"/>
        </w:rPr>
        <w:t>not</w:t>
      </w:r>
      <w:r w:rsidRPr="00BA1676">
        <w:rPr>
          <w:sz w:val="22"/>
          <w:szCs w:val="22"/>
        </w:rPr>
        <w:t xml:space="preserve"> based on:</w:t>
      </w:r>
    </w:p>
    <w:p w:rsidR="00E751F6" w:rsidRPr="00BA1676" w:rsidRDefault="00E751F6" w:rsidP="00E751F6">
      <w:pPr>
        <w:numPr>
          <w:ilvl w:val="0"/>
          <w:numId w:val="2"/>
        </w:numPr>
        <w:tabs>
          <w:tab w:val="clear" w:pos="720"/>
        </w:tabs>
        <w:spacing w:after="120"/>
        <w:ind w:left="1038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category of disability,</w:t>
      </w:r>
    </w:p>
    <w:p w:rsidR="00E751F6" w:rsidRPr="00BA1676" w:rsidRDefault="00E751F6" w:rsidP="00E751F6">
      <w:pPr>
        <w:numPr>
          <w:ilvl w:val="0"/>
          <w:numId w:val="2"/>
        </w:numPr>
        <w:tabs>
          <w:tab w:val="clear" w:pos="720"/>
        </w:tabs>
        <w:spacing w:after="120"/>
        <w:ind w:left="1038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language differences,</w:t>
      </w:r>
    </w:p>
    <w:p w:rsidR="00E751F6" w:rsidRPr="00BA1676" w:rsidRDefault="00E751F6" w:rsidP="00E751F6">
      <w:pPr>
        <w:numPr>
          <w:ilvl w:val="0"/>
          <w:numId w:val="2"/>
        </w:numPr>
        <w:tabs>
          <w:tab w:val="clear" w:pos="720"/>
        </w:tabs>
        <w:spacing w:after="120"/>
        <w:ind w:left="1038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excessive or extended absences, or</w:t>
      </w:r>
    </w:p>
    <w:p w:rsidR="00E751F6" w:rsidRPr="00BA1676" w:rsidRDefault="00E751F6" w:rsidP="00E751F6">
      <w:pPr>
        <w:numPr>
          <w:ilvl w:val="0"/>
          <w:numId w:val="2"/>
        </w:numPr>
        <w:tabs>
          <w:tab w:val="clear" w:pos="720"/>
        </w:tabs>
        <w:spacing w:after="120"/>
        <w:ind w:left="1034"/>
        <w:jc w:val="both"/>
        <w:rPr>
          <w:sz w:val="22"/>
          <w:szCs w:val="22"/>
        </w:rPr>
      </w:pPr>
      <w:proofErr w:type="gramStart"/>
      <w:r w:rsidRPr="00BA1676">
        <w:rPr>
          <w:sz w:val="22"/>
          <w:szCs w:val="22"/>
        </w:rPr>
        <w:t>cultural</w:t>
      </w:r>
      <w:proofErr w:type="gramEnd"/>
      <w:r w:rsidRPr="00BA1676">
        <w:rPr>
          <w:sz w:val="22"/>
          <w:szCs w:val="22"/>
        </w:rPr>
        <w:t xml:space="preserve"> or environmental factors.</w:t>
      </w:r>
    </w:p>
    <w:p w:rsidR="00E751F6" w:rsidRPr="00BA1676" w:rsidRDefault="00E751F6" w:rsidP="00E751F6">
      <w:pPr>
        <w:spacing w:before="40" w:after="120"/>
        <w:ind w:left="90" w:firstLine="602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The CSE ensures that each student has a personalized system of communication that addresses his or her needs regarding disability, culture, and native language so the student can demonstrate his or her present level of performance.</w:t>
      </w:r>
    </w:p>
    <w:p w:rsidR="00E751F6" w:rsidRDefault="00E751F6" w:rsidP="00E751F6">
      <w:pPr>
        <w:spacing w:before="40" w:after="40"/>
        <w:ind w:left="90" w:firstLine="602"/>
        <w:jc w:val="both"/>
        <w:rPr>
          <w:sz w:val="22"/>
          <w:szCs w:val="22"/>
        </w:rPr>
      </w:pPr>
      <w:r w:rsidRPr="00BA1676">
        <w:rPr>
          <w:sz w:val="22"/>
          <w:szCs w:val="22"/>
        </w:rPr>
        <w:t>Tests and other assessment procedures are conducted according to the requirements of section 200.4(b</w:t>
      </w:r>
      <w:proofErr w:type="gramStart"/>
      <w:r w:rsidRPr="00BA1676">
        <w:rPr>
          <w:sz w:val="22"/>
          <w:szCs w:val="22"/>
        </w:rPr>
        <w:t>)(</w:t>
      </w:r>
      <w:proofErr w:type="gramEnd"/>
      <w:r w:rsidRPr="00BA1676">
        <w:rPr>
          <w:sz w:val="22"/>
          <w:szCs w:val="22"/>
        </w:rPr>
        <w:t>6) of the Regulations of the Commissioner of Education and section 300.320(a)(6) of the Code of Federal Regulations.</w:t>
      </w:r>
    </w:p>
    <w:p w:rsidR="00E751F6" w:rsidRPr="00911DCD" w:rsidRDefault="00E751F6" w:rsidP="00E751F6">
      <w:pPr>
        <w:spacing w:before="40" w:after="40"/>
        <w:jc w:val="both"/>
        <w:rPr>
          <w:sz w:val="22"/>
          <w:szCs w:val="22"/>
        </w:rPr>
      </w:pPr>
    </w:p>
    <w:p w:rsidR="00E751F6" w:rsidRPr="00911DCD" w:rsidRDefault="00E751F6" w:rsidP="00E751F6">
      <w:pPr>
        <w:spacing w:before="40" w:after="40"/>
        <w:rPr>
          <w:b/>
          <w:sz w:val="22"/>
          <w:szCs w:val="22"/>
        </w:rPr>
      </w:pPr>
      <w:r w:rsidRPr="00911DCD">
        <w:rPr>
          <w:b/>
          <w:sz w:val="22"/>
          <w:szCs w:val="22"/>
        </w:rPr>
        <w:t>NYSAA Participation Criteria</w:t>
      </w:r>
    </w:p>
    <w:p w:rsidR="00E751F6" w:rsidRPr="00911DCD" w:rsidRDefault="00E751F6" w:rsidP="00E751F6">
      <w:pPr>
        <w:spacing w:after="120"/>
        <w:ind w:firstLine="684"/>
        <w:jc w:val="both"/>
        <w:rPr>
          <w:sz w:val="22"/>
          <w:szCs w:val="22"/>
        </w:rPr>
      </w:pPr>
      <w:r w:rsidRPr="00911DCD">
        <w:rPr>
          <w:sz w:val="22"/>
          <w:szCs w:val="22"/>
        </w:rPr>
        <w:t xml:space="preserve">Only students with severe cognitive disabilities are eligible for </w:t>
      </w:r>
      <w:r>
        <w:rPr>
          <w:sz w:val="22"/>
          <w:szCs w:val="22"/>
        </w:rPr>
        <w:t xml:space="preserve">the </w:t>
      </w:r>
      <w:r w:rsidRPr="00911DCD">
        <w:rPr>
          <w:sz w:val="22"/>
          <w:szCs w:val="22"/>
        </w:rPr>
        <w:t xml:space="preserve">NYSAA. The CSE </w:t>
      </w:r>
      <w:proofErr w:type="gramStart"/>
      <w:r w:rsidRPr="00911DCD">
        <w:rPr>
          <w:sz w:val="22"/>
          <w:szCs w:val="22"/>
        </w:rPr>
        <w:t>determines</w:t>
      </w:r>
      <w:proofErr w:type="gramEnd"/>
      <w:r w:rsidRPr="00911DCD">
        <w:rPr>
          <w:sz w:val="22"/>
          <w:szCs w:val="22"/>
        </w:rPr>
        <w:t xml:space="preserve"> whether a student with a severe cognitive disability is eligible to take </w:t>
      </w:r>
      <w:r>
        <w:rPr>
          <w:sz w:val="22"/>
          <w:szCs w:val="22"/>
        </w:rPr>
        <w:t xml:space="preserve">the </w:t>
      </w:r>
      <w:r w:rsidRPr="00911DCD">
        <w:rPr>
          <w:sz w:val="22"/>
          <w:szCs w:val="22"/>
        </w:rPr>
        <w:t xml:space="preserve">NYSAA based on the following criteria: </w:t>
      </w:r>
    </w:p>
    <w:p w:rsidR="00E751F6" w:rsidRPr="00911DCD" w:rsidRDefault="00E751F6" w:rsidP="00E751F6">
      <w:pPr>
        <w:numPr>
          <w:ilvl w:val="0"/>
          <w:numId w:val="3"/>
        </w:numPr>
        <w:tabs>
          <w:tab w:val="clear" w:pos="360"/>
        </w:tabs>
        <w:spacing w:after="120"/>
        <w:ind w:left="1026"/>
        <w:jc w:val="both"/>
        <w:rPr>
          <w:sz w:val="22"/>
          <w:szCs w:val="22"/>
        </w:rPr>
      </w:pPr>
      <w:r w:rsidRPr="00911DCD">
        <w:rPr>
          <w:sz w:val="22"/>
          <w:szCs w:val="22"/>
        </w:rPr>
        <w:t>the student has a severe cognitive disability</w:t>
      </w:r>
      <w:r>
        <w:rPr>
          <w:sz w:val="22"/>
          <w:szCs w:val="22"/>
        </w:rPr>
        <w:t>,</w:t>
      </w:r>
      <w:r w:rsidRPr="00911DCD">
        <w:rPr>
          <w:sz w:val="22"/>
          <w:szCs w:val="22"/>
        </w:rPr>
        <w:t xml:space="preserve"> significant deficits in communication</w:t>
      </w:r>
      <w:r>
        <w:rPr>
          <w:sz w:val="22"/>
          <w:szCs w:val="22"/>
        </w:rPr>
        <w:t xml:space="preserve">/ </w:t>
      </w:r>
      <w:r w:rsidRPr="00911DCD">
        <w:rPr>
          <w:sz w:val="22"/>
          <w:szCs w:val="22"/>
        </w:rPr>
        <w:t>language</w:t>
      </w:r>
      <w:r>
        <w:rPr>
          <w:sz w:val="22"/>
          <w:szCs w:val="22"/>
        </w:rPr>
        <w:t>,</w:t>
      </w:r>
      <w:r w:rsidRPr="00911DCD">
        <w:rPr>
          <w:sz w:val="22"/>
          <w:szCs w:val="22"/>
        </w:rPr>
        <w:t xml:space="preserve"> and significant deficits in adaptive behavior; </w:t>
      </w:r>
      <w:r w:rsidRPr="00911DCD">
        <w:rPr>
          <w:b/>
          <w:sz w:val="22"/>
          <w:szCs w:val="22"/>
        </w:rPr>
        <w:t xml:space="preserve">and </w:t>
      </w:r>
    </w:p>
    <w:p w:rsidR="00E751F6" w:rsidRPr="00911DCD" w:rsidRDefault="00E751F6" w:rsidP="00E751F6">
      <w:pPr>
        <w:numPr>
          <w:ilvl w:val="0"/>
          <w:numId w:val="3"/>
        </w:numPr>
        <w:tabs>
          <w:tab w:val="clear" w:pos="360"/>
        </w:tabs>
        <w:spacing w:after="120"/>
        <w:ind w:left="1026"/>
        <w:jc w:val="both"/>
        <w:rPr>
          <w:sz w:val="22"/>
          <w:szCs w:val="22"/>
        </w:rPr>
      </w:pPr>
      <w:r w:rsidRPr="00911DCD">
        <w:rPr>
          <w:sz w:val="22"/>
          <w:szCs w:val="22"/>
        </w:rPr>
        <w:t xml:space="preserve">the student requires a highly specialized educational program that facilitates the acquisition, application, and transfer of skills across natural environments (home, school, community, and/or workplace); </w:t>
      </w:r>
      <w:r w:rsidRPr="00911DCD">
        <w:rPr>
          <w:b/>
          <w:sz w:val="22"/>
          <w:szCs w:val="22"/>
        </w:rPr>
        <w:t>and</w:t>
      </w:r>
      <w:r w:rsidRPr="00911DCD">
        <w:rPr>
          <w:sz w:val="22"/>
          <w:szCs w:val="22"/>
        </w:rPr>
        <w:t xml:space="preserve"> </w:t>
      </w:r>
    </w:p>
    <w:p w:rsidR="00E751F6" w:rsidRPr="00911DCD" w:rsidRDefault="00E751F6" w:rsidP="00E751F6">
      <w:pPr>
        <w:numPr>
          <w:ilvl w:val="0"/>
          <w:numId w:val="3"/>
        </w:numPr>
        <w:tabs>
          <w:tab w:val="clear" w:pos="360"/>
        </w:tabs>
        <w:spacing w:after="120"/>
        <w:ind w:left="1026"/>
        <w:jc w:val="both"/>
        <w:rPr>
          <w:sz w:val="22"/>
          <w:szCs w:val="22"/>
        </w:rPr>
      </w:pPr>
      <w:proofErr w:type="gramStart"/>
      <w:r w:rsidRPr="00911DCD">
        <w:rPr>
          <w:sz w:val="22"/>
          <w:szCs w:val="22"/>
        </w:rPr>
        <w:lastRenderedPageBreak/>
        <w:t>the</w:t>
      </w:r>
      <w:proofErr w:type="gramEnd"/>
      <w:r w:rsidRPr="00911DCD">
        <w:rPr>
          <w:sz w:val="22"/>
          <w:szCs w:val="22"/>
        </w:rPr>
        <w:t xml:space="preserve"> student requires educational support systems, such as assistive technology, personal care services, health/medical services, or behavioral intervention. </w:t>
      </w:r>
    </w:p>
    <w:p w:rsidR="00E751F6" w:rsidRDefault="00E751F6" w:rsidP="00E751F6">
      <w:pPr>
        <w:spacing w:before="40" w:after="40"/>
        <w:rPr>
          <w:rFonts w:cs="Times New Roman"/>
          <w:sz w:val="22"/>
          <w:szCs w:val="22"/>
        </w:rPr>
      </w:pPr>
      <w:r w:rsidRPr="00911DCD">
        <w:rPr>
          <w:sz w:val="22"/>
          <w:szCs w:val="22"/>
        </w:rPr>
        <w:t xml:space="preserve">For </w:t>
      </w:r>
      <w:r>
        <w:rPr>
          <w:sz w:val="22"/>
          <w:szCs w:val="22"/>
        </w:rPr>
        <w:t xml:space="preserve">more </w:t>
      </w:r>
      <w:r w:rsidRPr="00911DCD">
        <w:rPr>
          <w:sz w:val="22"/>
          <w:szCs w:val="22"/>
        </w:rPr>
        <w:t>information</w:t>
      </w:r>
      <w:r>
        <w:rPr>
          <w:sz w:val="22"/>
          <w:szCs w:val="22"/>
        </w:rPr>
        <w:t>,</w:t>
      </w:r>
      <w:r w:rsidRPr="00911DCD">
        <w:rPr>
          <w:sz w:val="22"/>
          <w:szCs w:val="22"/>
        </w:rPr>
        <w:t xml:space="preserve"> see</w:t>
      </w:r>
      <w:r w:rsidRPr="008F5723">
        <w:rPr>
          <w:sz w:val="22"/>
          <w:szCs w:val="22"/>
        </w:rPr>
        <w:t xml:space="preserve"> </w:t>
      </w:r>
      <w:r w:rsidRPr="009669F3">
        <w:rPr>
          <w:rFonts w:cs="Times New Roman"/>
          <w:sz w:val="22"/>
          <w:szCs w:val="22"/>
          <w:u w:val="single"/>
        </w:rPr>
        <w:t>http://www.p12.nysed.gov/assessment/nysaa/</w:t>
      </w:r>
    </w:p>
    <w:p w:rsidR="00F835A5" w:rsidRPr="00E751F6" w:rsidRDefault="00F835A5"/>
    <w:sectPr w:rsidR="00F835A5" w:rsidRPr="00E751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51F6" w:rsidRDefault="00E751F6" w:rsidP="00531B52">
      <w:r>
        <w:separator/>
      </w:r>
    </w:p>
  </w:endnote>
  <w:endnote w:type="continuationSeparator" w:id="0">
    <w:p w:rsidR="00E751F6" w:rsidRDefault="00E751F6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52" w:rsidRDefault="00531B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52" w:rsidRDefault="00531B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52" w:rsidRDefault="00531B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51F6" w:rsidRDefault="00E751F6" w:rsidP="00531B52">
      <w:r>
        <w:separator/>
      </w:r>
    </w:p>
  </w:footnote>
  <w:footnote w:type="continuationSeparator" w:id="0">
    <w:p w:rsidR="00E751F6" w:rsidRDefault="00E751F6" w:rsidP="00531B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52" w:rsidRDefault="00531B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52" w:rsidRDefault="00531B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B52" w:rsidRDefault="00531B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469A"/>
    <w:multiLevelType w:val="hybridMultilevel"/>
    <w:tmpl w:val="6B0E8C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B6855"/>
    <w:multiLevelType w:val="hybridMultilevel"/>
    <w:tmpl w:val="3690ADE0"/>
    <w:lvl w:ilvl="0" w:tplc="19BED2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5A8C0048"/>
    <w:multiLevelType w:val="hybridMultilevel"/>
    <w:tmpl w:val="121E5E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1F6"/>
    <w:rsid w:val="000962D3"/>
    <w:rsid w:val="000C7E16"/>
    <w:rsid w:val="00174F25"/>
    <w:rsid w:val="00192CC7"/>
    <w:rsid w:val="002C1C26"/>
    <w:rsid w:val="003A5347"/>
    <w:rsid w:val="004B3CE3"/>
    <w:rsid w:val="00531B52"/>
    <w:rsid w:val="006B51E5"/>
    <w:rsid w:val="006C30C6"/>
    <w:rsid w:val="006E6D0A"/>
    <w:rsid w:val="008F1BAB"/>
    <w:rsid w:val="00AA0383"/>
    <w:rsid w:val="00BE5DCB"/>
    <w:rsid w:val="00DE5B6E"/>
    <w:rsid w:val="00E751F6"/>
    <w:rsid w:val="00F8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1F6"/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eastAsiaTheme="majorEastAsia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2016-09-06T14:39:00Z</dcterms:created>
  <dcterms:modified xsi:type="dcterms:W3CDTF">2016-09-06T14:39:00Z</dcterms:modified>
</cp:coreProperties>
</file>